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52E3" w14:textId="26FDBDBA" w:rsidR="00D75609" w:rsidRPr="004D52A9" w:rsidRDefault="00D75609" w:rsidP="00F4276F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4D52A9">
        <w:rPr>
          <w:rFonts w:cstheme="minorHAnsi"/>
          <w:b/>
          <w:color w:val="002060"/>
          <w:sz w:val="24"/>
          <w:szCs w:val="24"/>
        </w:rPr>
        <w:t xml:space="preserve">Anexa </w:t>
      </w:r>
      <w:r w:rsidR="00E83395" w:rsidRPr="004D52A9">
        <w:rPr>
          <w:rFonts w:cstheme="minorHAnsi"/>
          <w:b/>
          <w:color w:val="002060"/>
          <w:sz w:val="24"/>
          <w:szCs w:val="24"/>
        </w:rPr>
        <w:t>2</w:t>
      </w:r>
      <w:r w:rsidR="009741DC" w:rsidRPr="004D52A9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4D52A9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5E89F220" w14:textId="001035DE" w:rsidR="00D75609" w:rsidRPr="004D52A9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4D52A9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4D52A9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4D52A9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4D52A9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4D52A9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pPr w:leftFromText="180" w:rightFromText="180" w:vertAnchor="text" w:tblpXSpec="right" w:tblpY="1"/>
        <w:tblOverlap w:val="never"/>
        <w:tblW w:w="14690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4D52A9" w14:paraId="53C3A067" w14:textId="77777777" w:rsidTr="00F03885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4D52A9" w:rsidRDefault="000E3A54" w:rsidP="00F03885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4D52A9" w:rsidRDefault="000E3A54" w:rsidP="00F03885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4D52A9" w:rsidRDefault="000E3A54" w:rsidP="00F03885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4D52A9" w:rsidRDefault="000E3A54" w:rsidP="00F03885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4D52A9" w:rsidRDefault="000E3A54" w:rsidP="00F03885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B5175F" w:rsidRPr="004D52A9" w14:paraId="0CAE2CCA" w14:textId="77777777" w:rsidTr="00F03885">
        <w:tc>
          <w:tcPr>
            <w:tcW w:w="1228" w:type="dxa"/>
          </w:tcPr>
          <w:p w14:paraId="3119529C" w14:textId="217E31AA" w:rsidR="00B5175F" w:rsidRPr="00FA7233" w:rsidRDefault="00B5175F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01PSO13</w:t>
            </w:r>
          </w:p>
        </w:tc>
        <w:tc>
          <w:tcPr>
            <w:tcW w:w="2425" w:type="dxa"/>
          </w:tcPr>
          <w:p w14:paraId="01440866" w14:textId="77777777" w:rsidR="00B5175F" w:rsidRPr="00AC4BE2" w:rsidRDefault="00B5175F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Unități sanitare sprijinite</w:t>
            </w:r>
          </w:p>
          <w:p w14:paraId="33830902" w14:textId="77777777" w:rsidR="00B5175F" w:rsidRPr="00AF654E" w:rsidRDefault="00B5175F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62" w:type="dxa"/>
          </w:tcPr>
          <w:p w14:paraId="44FD5F81" w14:textId="2A02E907" w:rsidR="00B5175F" w:rsidRDefault="00B5175F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Unități sanitare</w:t>
            </w:r>
          </w:p>
        </w:tc>
        <w:tc>
          <w:tcPr>
            <w:tcW w:w="1362" w:type="dxa"/>
          </w:tcPr>
          <w:p w14:paraId="4745A02B" w14:textId="4CB27F52" w:rsidR="00B5175F" w:rsidRPr="004D52A9" w:rsidRDefault="00B5175F" w:rsidP="00F0388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</w:tc>
        <w:tc>
          <w:tcPr>
            <w:tcW w:w="8313" w:type="dxa"/>
          </w:tcPr>
          <w:p w14:paraId="7FBD26EE" w14:textId="557D07B3" w:rsidR="00B5175F" w:rsidRPr="00123DC8" w:rsidRDefault="00B5175F" w:rsidP="00F0388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  <w:r w:rsidR="000559F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: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 de unități sanitare sprijinite în cadrul apelului.</w:t>
            </w:r>
          </w:p>
          <w:p w14:paraId="7F16E9B5" w14:textId="77777777" w:rsidR="00B5175F" w:rsidRPr="00AC4BE2" w:rsidRDefault="00B5175F" w:rsidP="00F03885">
            <w:pPr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575CD4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</w:t>
            </w: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de calcul</w:t>
            </w:r>
          </w:p>
          <w:p w14:paraId="7A6A7252" w14:textId="7FA12A27" w:rsidR="00D94255" w:rsidRPr="00AC4BE2" w:rsidRDefault="00B5175F" w:rsidP="00F03885">
            <w:pPr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01PSO13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Unități sanitare sprijinite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va fi 1</w:t>
            </w:r>
            <w:r w:rsidR="00D94255">
              <w:rPr>
                <w:rFonts w:cstheme="minorHAnsi"/>
                <w:color w:val="002060"/>
                <w:sz w:val="24"/>
                <w:szCs w:val="24"/>
                <w:lang w:val="ro-RO"/>
              </w:rPr>
              <w:t>, respectiv unitatea sanitară care solicită finanțare (</w:t>
            </w:r>
            <w:r w:rsidR="00D94255" w:rsidRPr="005E5E3B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>unități sanitare publice de interes regional/ județean care diagnostichează și tratează cancer</w:t>
            </w:r>
            <w:r w:rsidR="00462535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="00D94255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>- spital județean</w:t>
            </w:r>
            <w:r w:rsidR="009D2932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>/ județean de urgență</w:t>
            </w:r>
            <w:r w:rsidR="006512A2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 xml:space="preserve"> care a</w:t>
            </w:r>
            <w:r w:rsidR="003444FB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>re</w:t>
            </w:r>
            <w:r w:rsidR="006512A2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 xml:space="preserve"> secții de oncologie</w:t>
            </w:r>
            <w:r w:rsidR="00D94255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>)</w:t>
            </w:r>
            <w:r w:rsidR="00D94255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7940C73A" w14:textId="77777777" w:rsidR="00B5175F" w:rsidRPr="00AC4BE2" w:rsidRDefault="00B5175F" w:rsidP="00F03885">
            <w:pPr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4527E5B8" w14:textId="77777777" w:rsidR="00B5175F" w:rsidRPr="00123DC8" w:rsidRDefault="00B5175F" w:rsidP="00F03885">
            <w:pPr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În contextul prezentului apel se aplică următoarele cerințe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:</w:t>
            </w:r>
          </w:p>
          <w:p w14:paraId="26A4A22E" w14:textId="77777777" w:rsidR="00B5175F" w:rsidRPr="00123DC8" w:rsidRDefault="00B5175F" w:rsidP="00F03885">
            <w:pPr>
              <w:pStyle w:val="ListParagraph"/>
              <w:numPr>
                <w:ilvl w:val="0"/>
                <w:numId w:val="26"/>
              </w:numPr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cadrul aceluiași proiect nu vor fi vizate mai multe unități sanitare; </w:t>
            </w:r>
          </w:p>
          <w:p w14:paraId="14EE8C7D" w14:textId="77777777" w:rsidR="00B5175F" w:rsidRPr="00123DC8" w:rsidRDefault="00B5175F" w:rsidP="00F03885">
            <w:pPr>
              <w:pStyle w:val="ListParagraph"/>
              <w:numPr>
                <w:ilvl w:val="0"/>
                <w:numId w:val="26"/>
              </w:numPr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nu se vor depune mai multe cereri</w:t>
            </w:r>
            <w:r w:rsidRPr="00123DC8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de </w:t>
            </w:r>
            <w:r w:rsidRPr="00AC4BE2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>finanţate</w:t>
            </w:r>
            <w:r w:rsidRPr="00123DC8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pentru aceiași unitate sanitară. </w:t>
            </w:r>
          </w:p>
          <w:p w14:paraId="23B4D430" w14:textId="77777777" w:rsidR="00B5175F" w:rsidRPr="00575CD4" w:rsidRDefault="00B5175F" w:rsidP="00F03885">
            <w:pPr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575CD4">
              <w:rPr>
                <w:rFonts w:cstheme="minorHAnsi"/>
                <w:b/>
                <w:color w:val="002060"/>
                <w:sz w:val="24"/>
                <w:szCs w:val="24"/>
              </w:rPr>
              <w:t>Raportare</w:t>
            </w:r>
          </w:p>
          <w:p w14:paraId="6B3CEDB5" w14:textId="26610FB5" w:rsidR="00B5175F" w:rsidRPr="00AC4BE2" w:rsidRDefault="00B5175F" w:rsidP="00F03885">
            <w:pPr>
              <w:pStyle w:val="ListParagraph"/>
              <w:numPr>
                <w:ilvl w:val="0"/>
                <w:numId w:val="8"/>
              </w:numPr>
              <w:tabs>
                <w:tab w:val="left" w:pos="7803"/>
              </w:tabs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momentul  operaționalizării/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punerii în funcțiune a echipamentelor medicale/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u w:val="single"/>
                <w:lang w:val="ro-RO"/>
              </w:rPr>
              <w:t>(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echipamentelor și/sau procese verbale de instalare, punere în funcțiune a echipamentelor).</w:t>
            </w:r>
          </w:p>
          <w:p w14:paraId="551E7653" w14:textId="04CA2455" w:rsidR="00B5175F" w:rsidRPr="009D2932" w:rsidRDefault="00D94255" w:rsidP="00F03885">
            <w:pPr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pt-PT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A</w:t>
            </w:r>
            <w:r w:rsidR="00B5175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cest indicator va fi raportat exclusiv pentru regiunea mai puțin dezvoltată. </w:t>
            </w:r>
          </w:p>
        </w:tc>
      </w:tr>
      <w:tr w:rsidR="00957799" w:rsidRPr="004D52A9" w14:paraId="0EB067F7" w14:textId="77777777" w:rsidTr="00F03885">
        <w:tc>
          <w:tcPr>
            <w:tcW w:w="1228" w:type="dxa"/>
          </w:tcPr>
          <w:p w14:paraId="4C05BCF3" w14:textId="24B30AC1" w:rsidR="00957799" w:rsidRPr="00AC4BE2" w:rsidRDefault="00957799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450AA">
              <w:rPr>
                <w:rFonts w:cstheme="minorHAnsi"/>
                <w:color w:val="002060"/>
                <w:sz w:val="24"/>
                <w:szCs w:val="24"/>
              </w:rPr>
              <w:t>01PSO14</w:t>
            </w:r>
            <w:r w:rsidRPr="007450AA">
              <w:rPr>
                <w:rFonts w:cstheme="minorHAnsi"/>
                <w:color w:val="002060"/>
                <w:sz w:val="24"/>
                <w:szCs w:val="24"/>
              </w:rPr>
              <w:tab/>
            </w:r>
          </w:p>
        </w:tc>
        <w:tc>
          <w:tcPr>
            <w:tcW w:w="2425" w:type="dxa"/>
          </w:tcPr>
          <w:p w14:paraId="03B04AE2" w14:textId="77777777" w:rsidR="00957799" w:rsidRDefault="00957799" w:rsidP="00F0388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450AA">
              <w:rPr>
                <w:rFonts w:cstheme="minorHAnsi"/>
                <w:color w:val="002060"/>
                <w:sz w:val="24"/>
                <w:szCs w:val="24"/>
              </w:rPr>
              <w:t xml:space="preserve">Structuri sprijinite, din care: </w:t>
            </w:r>
          </w:p>
          <w:p w14:paraId="1D357F7E" w14:textId="77777777" w:rsidR="00957799" w:rsidRDefault="00957799" w:rsidP="00F0388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450AA">
              <w:rPr>
                <w:rFonts w:cstheme="minorHAnsi"/>
                <w:color w:val="002060"/>
                <w:sz w:val="24"/>
                <w:szCs w:val="24"/>
              </w:rPr>
              <w:t>01PSO14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.01. </w:t>
            </w:r>
            <w:r w:rsidRPr="007450AA">
              <w:rPr>
                <w:rFonts w:cstheme="minorHAnsi"/>
                <w:color w:val="002060"/>
                <w:sz w:val="24"/>
                <w:szCs w:val="24"/>
              </w:rPr>
              <w:t xml:space="preserve">- din cadrul unităților sanitare publice din domeniul oncologie </w:t>
            </w:r>
          </w:p>
          <w:p w14:paraId="132E9AAF" w14:textId="77777777" w:rsidR="00957799" w:rsidRPr="00AC4BE2" w:rsidRDefault="00957799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62" w:type="dxa"/>
          </w:tcPr>
          <w:p w14:paraId="7DF0EE55" w14:textId="5714360D" w:rsidR="00957799" w:rsidRPr="00AC4BE2" w:rsidRDefault="00957799" w:rsidP="00F03885">
            <w:pPr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47A95">
              <w:rPr>
                <w:rFonts w:cstheme="minorHAnsi"/>
                <w:color w:val="002060"/>
                <w:sz w:val="24"/>
                <w:szCs w:val="24"/>
              </w:rPr>
              <w:t>structuri</w:t>
            </w:r>
          </w:p>
        </w:tc>
        <w:tc>
          <w:tcPr>
            <w:tcW w:w="1362" w:type="dxa"/>
          </w:tcPr>
          <w:p w14:paraId="1EF42D04" w14:textId="22F3EDAE" w:rsidR="00957799" w:rsidRPr="00AC4BE2" w:rsidRDefault="00957799" w:rsidP="00F0388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52A7E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</w:tc>
        <w:tc>
          <w:tcPr>
            <w:tcW w:w="8313" w:type="dxa"/>
          </w:tcPr>
          <w:p w14:paraId="2021EC27" w14:textId="4FF646D0" w:rsidR="001E3A45" w:rsidRDefault="00957799" w:rsidP="00F03885">
            <w:pPr>
              <w:ind w:right="120"/>
              <w:jc w:val="both"/>
              <w:rPr>
                <w:b/>
                <w:bCs/>
                <w:color w:val="002060"/>
                <w:sz w:val="24"/>
                <w:szCs w:val="24"/>
              </w:rPr>
            </w:pPr>
            <w:r w:rsidRPr="004F6D4A">
              <w:rPr>
                <w:rFonts w:cstheme="minorHAnsi"/>
                <w:b/>
                <w:color w:val="002060"/>
                <w:sz w:val="24"/>
                <w:szCs w:val="24"/>
              </w:rPr>
              <w:t>Definiție</w:t>
            </w:r>
            <w:r w:rsidR="000559FF">
              <w:rPr>
                <w:rFonts w:cstheme="minorHAnsi"/>
                <w:b/>
                <w:color w:val="002060"/>
                <w:sz w:val="24"/>
                <w:szCs w:val="24"/>
              </w:rPr>
              <w:t xml:space="preserve">: </w:t>
            </w:r>
            <w:r w:rsidR="001E3A45">
              <w:rPr>
                <w:b/>
                <w:bCs/>
                <w:color w:val="002060"/>
                <w:sz w:val="24"/>
                <w:szCs w:val="24"/>
              </w:rPr>
              <w:t xml:space="preserve">Numărul de structuri din cadrul unității sanitare sprijinite în cadrul proiectului. </w:t>
            </w:r>
          </w:p>
          <w:p w14:paraId="506D46CF" w14:textId="1CDADFD3" w:rsidR="001E3A45" w:rsidRDefault="001E3A45" w:rsidP="00F03885">
            <w:pPr>
              <w:jc w:val="both"/>
              <w:rPr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t>Structurile</w:t>
            </w:r>
            <w:r>
              <w:rPr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>
              <w:rPr>
                <w:color w:val="002060"/>
                <w:sz w:val="24"/>
                <w:szCs w:val="24"/>
                <w:lang w:val="ro-RO"/>
              </w:rPr>
              <w:t>din cadrul unității sanitare sunt cele definite în Regulamentul de organizare și funcționare, conform ultimei forme aprobate.</w:t>
            </w:r>
          </w:p>
          <w:p w14:paraId="0B425C11" w14:textId="77777777" w:rsidR="001E3A45" w:rsidRDefault="001E3A45" w:rsidP="00F03885">
            <w:pPr>
              <w:jc w:val="both"/>
              <w:rPr>
                <w:b/>
                <w:bCs/>
                <w:color w:val="002060"/>
                <w:sz w:val="24"/>
                <w:szCs w:val="24"/>
                <w:lang w:val="ro-RO"/>
              </w:rPr>
            </w:pPr>
            <w:r>
              <w:rPr>
                <w:b/>
                <w:bCs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0BD2A057" w14:textId="52B0907F" w:rsidR="001E3A45" w:rsidRDefault="001E3A45" w:rsidP="00F03885">
            <w:pPr>
              <w:pStyle w:val="ListParagraph"/>
              <w:numPr>
                <w:ilvl w:val="0"/>
                <w:numId w:val="27"/>
              </w:numPr>
              <w:jc w:val="both"/>
              <w:rPr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t xml:space="preserve">La momentul elaborării cererii de finanțare se va stabili ținta doar pentru indicatorul 01PSO14 </w:t>
            </w:r>
            <w:r>
              <w:rPr>
                <w:i/>
                <w:iCs/>
                <w:color w:val="002060"/>
                <w:sz w:val="24"/>
                <w:szCs w:val="24"/>
                <w:lang w:val="ro-RO"/>
              </w:rPr>
              <w:t>Structuri sprijinite, în func</w:t>
            </w:r>
            <w:r w:rsidR="00361E08">
              <w:rPr>
                <w:i/>
                <w:iCs/>
                <w:color w:val="002060"/>
                <w:sz w:val="24"/>
                <w:szCs w:val="24"/>
                <w:lang w:val="ro-RO"/>
              </w:rPr>
              <w:t>ț</w:t>
            </w:r>
            <w:r>
              <w:rPr>
                <w:i/>
                <w:iCs/>
                <w:color w:val="002060"/>
                <w:sz w:val="24"/>
                <w:szCs w:val="24"/>
                <w:lang w:val="ro-RO"/>
              </w:rPr>
              <w:t>ie de numărul structurilor care vor beneficia de noile dotări</w:t>
            </w:r>
            <w:r>
              <w:rPr>
                <w:color w:val="002060"/>
                <w:sz w:val="24"/>
                <w:szCs w:val="24"/>
                <w:lang w:val="ro-RO"/>
              </w:rPr>
              <w:t>.</w:t>
            </w:r>
          </w:p>
          <w:p w14:paraId="2A5DEADF" w14:textId="77777777" w:rsidR="001E3A45" w:rsidRDefault="001E3A45" w:rsidP="00F03885">
            <w:pPr>
              <w:pStyle w:val="ListParagraph"/>
              <w:numPr>
                <w:ilvl w:val="0"/>
                <w:numId w:val="27"/>
              </w:numPr>
              <w:jc w:val="both"/>
              <w:rPr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t xml:space="preserve">La momentul raportării, la nivelul proiectului, ținta indicatorului 01PSO14 </w:t>
            </w:r>
            <w:r>
              <w:rPr>
                <w:i/>
                <w:iCs/>
                <w:color w:val="002060"/>
                <w:sz w:val="24"/>
                <w:szCs w:val="24"/>
                <w:lang w:val="ro-RO"/>
              </w:rPr>
              <w:t>Structuri sprijinite</w:t>
            </w:r>
            <w:r>
              <w:rPr>
                <w:color w:val="002060"/>
                <w:sz w:val="24"/>
                <w:szCs w:val="24"/>
                <w:lang w:val="ro-RO"/>
              </w:rPr>
              <w:t xml:space="preserve"> va fi egală cu ținta sub indicatorului:</w:t>
            </w:r>
          </w:p>
          <w:p w14:paraId="70082881" w14:textId="77777777" w:rsidR="001E3A45" w:rsidRDefault="001E3A45" w:rsidP="00F03885">
            <w:pPr>
              <w:pStyle w:val="ListParagraph"/>
              <w:numPr>
                <w:ilvl w:val="1"/>
                <w:numId w:val="27"/>
              </w:numPr>
              <w:jc w:val="both"/>
              <w:rPr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lastRenderedPageBreak/>
              <w:t xml:space="preserve">01PSO 14.01. din cadrul unităților sanitare publice din domeniul oncologie </w:t>
            </w:r>
          </w:p>
          <w:p w14:paraId="092FE470" w14:textId="77777777" w:rsidR="001E3A45" w:rsidRPr="00575CD4" w:rsidRDefault="001E3A45" w:rsidP="00F03885">
            <w:pPr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575CD4">
              <w:rPr>
                <w:rFonts w:cstheme="minorHAnsi"/>
                <w:b/>
                <w:color w:val="002060"/>
                <w:sz w:val="24"/>
                <w:szCs w:val="24"/>
              </w:rPr>
              <w:t>Raportare</w:t>
            </w:r>
          </w:p>
          <w:p w14:paraId="0406BF40" w14:textId="4C5BA7C7" w:rsidR="001E3A45" w:rsidRDefault="001E3A45" w:rsidP="00F03885">
            <w:pPr>
              <w:jc w:val="both"/>
              <w:rPr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t>Indicatorul se raportează o singura dată, la data când echipamentele sunt operaționale (puse în utilizare).</w:t>
            </w:r>
          </w:p>
          <w:p w14:paraId="11E39A66" w14:textId="74883D60" w:rsidR="001E3A45" w:rsidRDefault="001E3A45" w:rsidP="00F03885">
            <w:pPr>
              <w:jc w:val="both"/>
              <w:rPr>
                <w:i/>
                <w:iCs/>
                <w:color w:val="002060"/>
                <w:sz w:val="24"/>
                <w:szCs w:val="24"/>
                <w:lang w:val="ro-RO"/>
              </w:rPr>
            </w:pPr>
            <w:r>
              <w:rPr>
                <w:color w:val="002060"/>
                <w:sz w:val="24"/>
                <w:szCs w:val="24"/>
                <w:lang w:val="ro-RO"/>
              </w:rPr>
              <w:t xml:space="preserve">Documentele care atestă faptul că structurile au fost sprijinite: ex. </w:t>
            </w:r>
            <w:r>
              <w:rPr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echipamentelor și/sau procese verbale de instalare, punere în funcțiune a echipamentelor;</w:t>
            </w:r>
          </w:p>
          <w:p w14:paraId="186FA8EE" w14:textId="402E977A" w:rsidR="00957799" w:rsidRPr="00123DC8" w:rsidRDefault="001E3A45" w:rsidP="00F03885">
            <w:pPr>
              <w:jc w:val="both"/>
              <w:rPr>
                <w:rFonts w:cstheme="minorHAnsi"/>
                <w:b/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  <w:lang w:val="it-IT"/>
              </w:rPr>
              <w:t xml:space="preserve">Deoarece este un apel </w:t>
            </w:r>
            <w:r w:rsidR="00523650">
              <w:rPr>
                <w:color w:val="002060"/>
                <w:sz w:val="24"/>
                <w:szCs w:val="24"/>
                <w:lang w:val="it-IT"/>
              </w:rPr>
              <w:t xml:space="preserve">competitiv </w:t>
            </w:r>
            <w:r>
              <w:rPr>
                <w:color w:val="002060"/>
                <w:sz w:val="24"/>
                <w:szCs w:val="24"/>
                <w:lang w:val="it-IT"/>
              </w:rPr>
              <w:t xml:space="preserve">dedicat </w:t>
            </w:r>
            <w:r w:rsidR="00F03885">
              <w:t xml:space="preserve"> </w:t>
            </w:r>
            <w:r w:rsidR="00F03885" w:rsidRPr="00F03885">
              <w:rPr>
                <w:color w:val="002060"/>
                <w:sz w:val="24"/>
                <w:szCs w:val="24"/>
                <w:lang w:val="it-IT"/>
              </w:rPr>
              <w:t>unităților sanitare publice de interes regional/ județean</w:t>
            </w:r>
            <w:r w:rsidR="00F03885">
              <w:rPr>
                <w:color w:val="002060"/>
                <w:sz w:val="24"/>
                <w:szCs w:val="24"/>
                <w:lang w:val="it-IT"/>
              </w:rPr>
              <w:t>,</w:t>
            </w:r>
            <w:r w:rsidR="00F03885" w:rsidRPr="00F03885">
              <w:rPr>
                <w:color w:val="002060"/>
                <w:sz w:val="24"/>
                <w:szCs w:val="24"/>
                <w:lang w:val="it-IT"/>
              </w:rPr>
              <w:t xml:space="preserve"> </w:t>
            </w:r>
            <w:r>
              <w:rPr>
                <w:color w:val="002060"/>
                <w:sz w:val="24"/>
                <w:szCs w:val="24"/>
                <w:lang w:val="it-IT"/>
              </w:rPr>
              <w:t xml:space="preserve">localizate în regiuni mai puţin dezvoltate, ținta indicatorului </w:t>
            </w:r>
            <w:r>
              <w:rPr>
                <w:color w:val="002060"/>
                <w:sz w:val="24"/>
                <w:szCs w:val="24"/>
                <w:lang w:val="it-IT" w:eastAsia="en-IE"/>
              </w:rPr>
              <w:t>01PSO1</w:t>
            </w:r>
            <w:r w:rsidR="00F03885">
              <w:rPr>
                <w:color w:val="002060"/>
                <w:sz w:val="24"/>
                <w:szCs w:val="24"/>
                <w:lang w:val="it-IT" w:eastAsia="en-IE"/>
              </w:rPr>
              <w:t>4</w:t>
            </w:r>
            <w:r>
              <w:rPr>
                <w:color w:val="002060"/>
                <w:sz w:val="24"/>
                <w:szCs w:val="24"/>
                <w:lang w:val="it-IT" w:eastAsia="en-IE"/>
              </w:rPr>
              <w:t xml:space="preserve"> </w:t>
            </w:r>
            <w:r w:rsidR="00F03885">
              <w:rPr>
                <w:i/>
                <w:iCs/>
                <w:color w:val="002060"/>
                <w:sz w:val="24"/>
                <w:szCs w:val="24"/>
                <w:lang w:val="it-IT" w:eastAsia="en-IE"/>
              </w:rPr>
              <w:t>Structuri sprijinite</w:t>
            </w:r>
            <w:r>
              <w:rPr>
                <w:color w:val="002060"/>
                <w:sz w:val="24"/>
                <w:szCs w:val="24"/>
                <w:lang w:val="it-IT" w:eastAsia="en-IE"/>
              </w:rPr>
              <w:t xml:space="preserve"> </w:t>
            </w:r>
            <w:r>
              <w:rPr>
                <w:color w:val="002060"/>
                <w:sz w:val="24"/>
                <w:szCs w:val="24"/>
                <w:lang w:val="it-IT"/>
              </w:rPr>
              <w:t>va fi raportată exclusiv pentru acest tip de regiune de dezvoltare.</w:t>
            </w:r>
          </w:p>
        </w:tc>
      </w:tr>
    </w:tbl>
    <w:p w14:paraId="361EF061" w14:textId="0F32D223" w:rsidR="006D3D99" w:rsidRPr="004D52A9" w:rsidRDefault="00F03885">
      <w:pPr>
        <w:rPr>
          <w:rFonts w:cstheme="minorHAnsi"/>
          <w:b/>
          <w:color w:val="002060"/>
          <w:sz w:val="24"/>
          <w:szCs w:val="24"/>
        </w:rPr>
      </w:pPr>
      <w:bookmarkStart w:id="0" w:name="_Toc126864174"/>
      <w:r>
        <w:rPr>
          <w:rFonts w:cstheme="minorHAnsi"/>
          <w:b/>
          <w:color w:val="002060"/>
          <w:sz w:val="24"/>
          <w:szCs w:val="24"/>
        </w:rPr>
        <w:lastRenderedPageBreak/>
        <w:br w:type="textWrapping" w:clear="all"/>
      </w:r>
    </w:p>
    <w:p w14:paraId="08F0E383" w14:textId="77777777" w:rsidR="006D3D99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p w14:paraId="14A9887A" w14:textId="480F2AFC" w:rsidR="00A40BE2" w:rsidRDefault="002D51C8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r w:rsidRPr="004D52A9">
        <w:rPr>
          <w:rFonts w:cstheme="minorHAnsi"/>
          <w:b/>
          <w:color w:val="002060"/>
          <w:sz w:val="24"/>
          <w:szCs w:val="24"/>
        </w:rPr>
        <w:t>De</w:t>
      </w:r>
      <w:r w:rsidR="00A40BE2" w:rsidRPr="004D52A9">
        <w:rPr>
          <w:rFonts w:cstheme="minorHAnsi"/>
          <w:b/>
          <w:color w:val="002060"/>
          <w:sz w:val="24"/>
          <w:szCs w:val="24"/>
        </w:rPr>
        <w:t>finiți</w:t>
      </w:r>
      <w:r w:rsidR="00545FF1" w:rsidRPr="004D52A9">
        <w:rPr>
          <w:rFonts w:cstheme="minorHAnsi"/>
          <w:b/>
          <w:color w:val="002060"/>
          <w:sz w:val="24"/>
          <w:szCs w:val="24"/>
        </w:rPr>
        <w:t>a</w:t>
      </w:r>
      <w:r w:rsidR="00A40BE2" w:rsidRPr="004D52A9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4D52A9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4D52A9">
        <w:rPr>
          <w:rFonts w:cstheme="minorHAnsi"/>
          <w:b/>
          <w:color w:val="002060"/>
          <w:sz w:val="24"/>
          <w:szCs w:val="24"/>
        </w:rPr>
        <w:t>de rezultat</w:t>
      </w:r>
      <w:bookmarkEnd w:id="0"/>
    </w:p>
    <w:p w14:paraId="6AA7F281" w14:textId="77777777" w:rsidR="006D3D99" w:rsidRPr="004D52A9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16"/>
        <w:gridCol w:w="1384"/>
        <w:gridCol w:w="1362"/>
        <w:gridCol w:w="8283"/>
      </w:tblGrid>
      <w:tr w:rsidR="000E3A54" w:rsidRPr="004D52A9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4D52A9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4D52A9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FC0F61" w:rsidRPr="004D52A9" w14:paraId="4537DDA7" w14:textId="77777777" w:rsidTr="000E3A54">
        <w:tc>
          <w:tcPr>
            <w:tcW w:w="1260" w:type="dxa"/>
          </w:tcPr>
          <w:p w14:paraId="55462905" w14:textId="3C78EDA4" w:rsidR="00FC0F61" w:rsidRPr="009813FF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01PSR10</w:t>
            </w:r>
          </w:p>
        </w:tc>
        <w:tc>
          <w:tcPr>
            <w:tcW w:w="2420" w:type="dxa"/>
          </w:tcPr>
          <w:p w14:paraId="7FA09428" w14:textId="1B97BF7E" w:rsidR="00FC0F61" w:rsidRPr="009813FF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63428">
              <w:rPr>
                <w:rFonts w:cstheme="minorHAnsi"/>
                <w:color w:val="002060"/>
                <w:sz w:val="24"/>
                <w:szCs w:val="24"/>
                <w:lang w:val="ro-RO"/>
              </w:rPr>
              <w:t>Număr anual de utilizatori ai unității sanitare/ structurilor sprijinite</w:t>
            </w:r>
          </w:p>
        </w:tc>
        <w:tc>
          <w:tcPr>
            <w:tcW w:w="1362" w:type="dxa"/>
          </w:tcPr>
          <w:p w14:paraId="335AC38E" w14:textId="5B8761E2" w:rsidR="00FC0F61" w:rsidRPr="004D52A9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Utilizatori/ an</w:t>
            </w:r>
          </w:p>
        </w:tc>
        <w:tc>
          <w:tcPr>
            <w:tcW w:w="1362" w:type="dxa"/>
          </w:tcPr>
          <w:p w14:paraId="1A6C4584" w14:textId="77777777" w:rsidR="00FC0F61" w:rsidRPr="00AC4BE2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  <w:p w14:paraId="46B3A382" w14:textId="77777777" w:rsidR="00FC0F61" w:rsidRPr="00AC4BE2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E60BF96" w14:textId="73C2FCE1" w:rsidR="00FC0F61" w:rsidRPr="009813FF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01" w:type="dxa"/>
          </w:tcPr>
          <w:p w14:paraId="749481CC" w14:textId="77777777" w:rsidR="00FC0F61" w:rsidRPr="00AC4BE2" w:rsidRDefault="00FC0F61" w:rsidP="00FC0F6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9D2932">
              <w:rPr>
                <w:rFonts w:cstheme="minorHAnsi"/>
                <w:b/>
                <w:color w:val="002060"/>
                <w:sz w:val="24"/>
                <w:szCs w:val="24"/>
                <w:lang w:val="pt-PT"/>
              </w:rPr>
              <w:t>Definiție:</w:t>
            </w:r>
          </w:p>
          <w:p w14:paraId="00446B92" w14:textId="4E7CA08C" w:rsidR="00FC0F61" w:rsidRDefault="00FC0F61" w:rsidP="00FC0F61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Indicatorul măsoară numărul de pacienți deserviți de </w:t>
            </w:r>
            <w:r w:rsidR="004F2279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unitatea sanitară publică de interes regional</w:t>
            </w:r>
            <w:r w:rsidR="00493336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/ județean</w:t>
            </w:r>
            <w:r w:rsidRPr="00AC4BE2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 în decursul unui an de la punerea în funcțiune a echipamentelor/dotărilor (la un an de când echipamentele/dotările sunt utilizate pentru diagnosticul și/sau tratamentul </w:t>
            </w:r>
            <w:r w:rsidR="00493336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oncologic al </w:t>
            </w:r>
            <w:r w:rsidRPr="00AC4BE2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pacienților). </w:t>
            </w:r>
            <w:r w:rsidRPr="00163428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O persoană poate fi luată în calcul de mai multe ori dacă utilizează facilitățile de mai multe ori (internări).</w:t>
            </w:r>
            <w:r w:rsidRPr="00163428">
              <w:rPr>
                <w:rFonts w:cstheme="minorHAnsi"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226A0FC3" w14:textId="77777777" w:rsidR="00580C20" w:rsidRDefault="00580C20" w:rsidP="00FC0F61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sz w:val="24"/>
                <w:szCs w:val="24"/>
                <w:lang w:val="ro-RO"/>
              </w:rPr>
            </w:pPr>
          </w:p>
          <w:p w14:paraId="568196F5" w14:textId="77777777" w:rsidR="00580C20" w:rsidRPr="005B4D3C" w:rsidRDefault="00580C20" w:rsidP="00580C20">
            <w:pPr>
              <w:spacing w:before="6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5B4D3C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lastRenderedPageBreak/>
              <w:t>Atenție!</w:t>
            </w:r>
          </w:p>
          <w:p w14:paraId="44891B22" w14:textId="77777777" w:rsidR="00580C20" w:rsidRPr="005B4D3C" w:rsidRDefault="00580C20" w:rsidP="00580C20">
            <w:pPr>
              <w:spacing w:before="60"/>
              <w:jc w:val="both"/>
              <w:rPr>
                <w:rFonts w:cstheme="minorHAnsi"/>
                <w:bCs/>
                <w:i/>
                <w:iCs/>
                <w:color w:val="FF0000"/>
                <w:sz w:val="24"/>
                <w:szCs w:val="24"/>
                <w:lang w:val="ro-RO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NU vor fi cuantificați în ținta indicatorului pacienții care </w:t>
            </w:r>
            <w:r w:rsidRPr="005B4D3C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au beneficiat de servicii de diagnostic si/sau tratament</w:t>
            </w: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 pentru alte tipuri de dotări care NU au fost sprijinite în cadrul proiectului.</w:t>
            </w:r>
          </w:p>
          <w:p w14:paraId="16C8B64E" w14:textId="77777777" w:rsidR="00FC0F61" w:rsidRPr="00AC4BE2" w:rsidRDefault="00FC0F61" w:rsidP="00FC0F6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6342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2D0685EF" w14:textId="77777777" w:rsidR="00FC0F61" w:rsidRPr="00AC4BE2" w:rsidRDefault="00FC0F61" w:rsidP="00FC0F6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6E4CF31E" w14:textId="05320089" w:rsidR="00FC0F61" w:rsidRPr="00AC4BE2" w:rsidRDefault="00FC0F61" w:rsidP="00FC0F61">
            <w:pPr>
              <w:pStyle w:val="ListParagraph"/>
              <w:numPr>
                <w:ilvl w:val="0"/>
                <w:numId w:val="2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elaborării cererii de finanțare se va stabili țintă pentru indicatorul </w:t>
            </w:r>
            <w:r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01PSR10 Număr anual de utilizatori ai unității sanitare/ structurilor sprijinite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, ținta minimă fiind de minim </w:t>
            </w:r>
            <w:r w:rsidR="002E45DD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1.469 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utilizatori/an /proiect.</w:t>
            </w:r>
          </w:p>
          <w:p w14:paraId="1917C92D" w14:textId="176ABF7D" w:rsidR="00FC0F61" w:rsidRPr="00AC4BE2" w:rsidRDefault="00FC0F61" w:rsidP="00FC0F61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punerea în funcțiune a echipamentelor/dotărilor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se va raporta numărul </w:t>
            </w:r>
            <w:r w:rsidRPr="00AC4BE2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utilizatori ai </w:t>
            </w:r>
            <w:r w:rsidR="008703DB">
              <w:rPr>
                <w:rFonts w:cstheme="minorHAnsi"/>
                <w:color w:val="002060"/>
                <w:sz w:val="24"/>
                <w:szCs w:val="24"/>
                <w:lang w:val="ro-RO"/>
              </w:rPr>
              <w:t>unității sanitare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0F6D3ECF" w14:textId="77777777" w:rsidR="00FC0F61" w:rsidRPr="00575CD4" w:rsidRDefault="00FC0F61" w:rsidP="00FC0F6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575CD4">
              <w:rPr>
                <w:rFonts w:cstheme="minorHAnsi"/>
                <w:b/>
                <w:color w:val="002060"/>
                <w:sz w:val="24"/>
                <w:szCs w:val="24"/>
              </w:rPr>
              <w:t>Raportare</w:t>
            </w:r>
          </w:p>
          <w:p w14:paraId="6D0F426B" w14:textId="77777777" w:rsidR="00FC0F61" w:rsidRPr="00AC4BE2" w:rsidRDefault="00FC0F61" w:rsidP="00FC0F61">
            <w:pPr>
              <w:pStyle w:val="ListParagraph"/>
              <w:numPr>
                <w:ilvl w:val="0"/>
                <w:numId w:val="2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1 an de la momentul în care toate echipamentele au fost puse în funcțiune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2F50AE34" w14:textId="7D73FE0D" w:rsidR="00FC0F61" w:rsidRPr="004D52A9" w:rsidRDefault="00FC0F61" w:rsidP="00FC0F61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Raportarea țintelor indicatorului </w:t>
            </w:r>
            <w:r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01PSR10 Număr anual de utilizatori ai unității sanitare/ structurilor sprijinite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exclusiv se va face  exclusiv pe regiuni mai puțin dezvoltate</w:t>
            </w:r>
          </w:p>
        </w:tc>
      </w:tr>
    </w:tbl>
    <w:p w14:paraId="0B3F2491" w14:textId="77777777" w:rsidR="005E7824" w:rsidRPr="004D52A9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4D52A9" w:rsidSect="00C856C6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85D90" w14:textId="77777777" w:rsidR="00C856C6" w:rsidRDefault="00C856C6" w:rsidP="000B36E6">
      <w:pPr>
        <w:spacing w:after="0" w:line="240" w:lineRule="auto"/>
      </w:pPr>
      <w:r>
        <w:separator/>
      </w:r>
    </w:p>
  </w:endnote>
  <w:endnote w:type="continuationSeparator" w:id="0">
    <w:p w14:paraId="1453BCCF" w14:textId="77777777" w:rsidR="00C856C6" w:rsidRDefault="00C856C6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993F7" w14:textId="77777777" w:rsidR="00C856C6" w:rsidRDefault="00C856C6" w:rsidP="000B36E6">
      <w:pPr>
        <w:spacing w:after="0" w:line="240" w:lineRule="auto"/>
      </w:pPr>
      <w:r>
        <w:separator/>
      </w:r>
    </w:p>
  </w:footnote>
  <w:footnote w:type="continuationSeparator" w:id="0">
    <w:p w14:paraId="4F915408" w14:textId="77777777" w:rsidR="00C856C6" w:rsidRDefault="00C856C6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8E6B0" w14:textId="77777777" w:rsidR="005E5E3B" w:rsidRDefault="00FC57EB" w:rsidP="00FC57EB">
    <w:pPr>
      <w:spacing w:before="60" w:after="0" w:line="240" w:lineRule="auto"/>
      <w:ind w:right="120"/>
      <w:jc w:val="center"/>
      <w:rPr>
        <w:b/>
        <w:bCs/>
        <w:color w:val="002060"/>
        <w:sz w:val="24"/>
        <w:szCs w:val="24"/>
      </w:rPr>
    </w:pPr>
    <w:r w:rsidRPr="005E5E3B">
      <w:rPr>
        <w:b/>
        <w:bCs/>
        <w:color w:val="002060"/>
        <w:sz w:val="24"/>
        <w:szCs w:val="24"/>
      </w:rPr>
      <w:t>Ghidul solicitantului:</w:t>
    </w:r>
  </w:p>
  <w:p w14:paraId="52AF0F3E" w14:textId="3289BB48" w:rsidR="000B36E6" w:rsidRPr="005E5E3B" w:rsidRDefault="001C3AB3" w:rsidP="001C3AB3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r w:rsidRPr="001C3AB3">
      <w:rPr>
        <w:b/>
        <w:bCs/>
        <w:i/>
        <w:iCs/>
        <w:color w:val="002060"/>
        <w:sz w:val="24"/>
        <w:szCs w:val="24"/>
      </w:rPr>
      <w:t>Investiții în infrastructura publică a unităților sanitare publice de interes regional</w:t>
    </w:r>
    <w:r w:rsidR="009D2932">
      <w:rPr>
        <w:b/>
        <w:bCs/>
        <w:i/>
        <w:iCs/>
        <w:color w:val="002060"/>
        <w:sz w:val="24"/>
        <w:szCs w:val="24"/>
      </w:rPr>
      <w:t xml:space="preserve">/ </w:t>
    </w:r>
    <w:r w:rsidR="00493336">
      <w:rPr>
        <w:b/>
        <w:bCs/>
        <w:i/>
        <w:iCs/>
        <w:color w:val="002060"/>
        <w:sz w:val="24"/>
        <w:szCs w:val="24"/>
      </w:rPr>
      <w:t xml:space="preserve">județean </w:t>
    </w:r>
    <w:r w:rsidRPr="001C3AB3">
      <w:rPr>
        <w:b/>
        <w:bCs/>
        <w:i/>
        <w:iCs/>
        <w:color w:val="002060"/>
        <w:sz w:val="24"/>
        <w:szCs w:val="24"/>
      </w:rPr>
      <w:t>care diagnostichează și tratează cancer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37E7"/>
    <w:multiLevelType w:val="hybridMultilevel"/>
    <w:tmpl w:val="BF3CE7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80D68"/>
    <w:multiLevelType w:val="hybridMultilevel"/>
    <w:tmpl w:val="BB9828C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DF190E"/>
    <w:multiLevelType w:val="hybridMultilevel"/>
    <w:tmpl w:val="B7F83F6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513419"/>
    <w:multiLevelType w:val="hybridMultilevel"/>
    <w:tmpl w:val="AE4AD8E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1024F0"/>
    <w:multiLevelType w:val="hybridMultilevel"/>
    <w:tmpl w:val="4A9CAB52"/>
    <w:lvl w:ilvl="0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C16413"/>
    <w:multiLevelType w:val="hybridMultilevel"/>
    <w:tmpl w:val="D616BF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3A1FF0"/>
    <w:multiLevelType w:val="hybridMultilevel"/>
    <w:tmpl w:val="F5848B1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268BB"/>
    <w:multiLevelType w:val="hybridMultilevel"/>
    <w:tmpl w:val="26A4E2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620401"/>
    <w:multiLevelType w:val="hybridMultilevel"/>
    <w:tmpl w:val="8EA243C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A7C02"/>
    <w:multiLevelType w:val="hybridMultilevel"/>
    <w:tmpl w:val="70CEF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901AA"/>
    <w:multiLevelType w:val="hybridMultilevel"/>
    <w:tmpl w:val="1A3CC2B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D25FE"/>
    <w:multiLevelType w:val="hybridMultilevel"/>
    <w:tmpl w:val="51FA555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423AD6"/>
    <w:multiLevelType w:val="hybridMultilevel"/>
    <w:tmpl w:val="D3F27D2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9"/>
  </w:num>
  <w:num w:numId="2" w16cid:durableId="1334838568">
    <w:abstractNumId w:val="19"/>
  </w:num>
  <w:num w:numId="3" w16cid:durableId="420757746">
    <w:abstractNumId w:val="8"/>
  </w:num>
  <w:num w:numId="4" w16cid:durableId="1852601386">
    <w:abstractNumId w:val="20"/>
  </w:num>
  <w:num w:numId="5" w16cid:durableId="2066946728">
    <w:abstractNumId w:val="23"/>
  </w:num>
  <w:num w:numId="6" w16cid:durableId="122694555">
    <w:abstractNumId w:val="13"/>
  </w:num>
  <w:num w:numId="7" w16cid:durableId="2125270642">
    <w:abstractNumId w:val="22"/>
  </w:num>
  <w:num w:numId="8" w16cid:durableId="1316186064">
    <w:abstractNumId w:val="11"/>
  </w:num>
  <w:num w:numId="9" w16cid:durableId="830829993">
    <w:abstractNumId w:val="2"/>
  </w:num>
  <w:num w:numId="10" w16cid:durableId="897088916">
    <w:abstractNumId w:val="16"/>
  </w:num>
  <w:num w:numId="11" w16cid:durableId="2083479607">
    <w:abstractNumId w:val="17"/>
  </w:num>
  <w:num w:numId="12" w16cid:durableId="582645384">
    <w:abstractNumId w:val="24"/>
  </w:num>
  <w:num w:numId="13" w16cid:durableId="1039866002">
    <w:abstractNumId w:val="6"/>
  </w:num>
  <w:num w:numId="14" w16cid:durableId="906308956">
    <w:abstractNumId w:val="10"/>
  </w:num>
  <w:num w:numId="15" w16cid:durableId="1720591012">
    <w:abstractNumId w:val="4"/>
  </w:num>
  <w:num w:numId="16" w16cid:durableId="729304857">
    <w:abstractNumId w:val="3"/>
  </w:num>
  <w:num w:numId="17" w16cid:durableId="155348227">
    <w:abstractNumId w:val="15"/>
  </w:num>
  <w:num w:numId="18" w16cid:durableId="173955232">
    <w:abstractNumId w:val="5"/>
  </w:num>
  <w:num w:numId="19" w16cid:durableId="760024185">
    <w:abstractNumId w:val="7"/>
  </w:num>
  <w:num w:numId="20" w16cid:durableId="152987006">
    <w:abstractNumId w:val="0"/>
  </w:num>
  <w:num w:numId="21" w16cid:durableId="990212496">
    <w:abstractNumId w:val="0"/>
  </w:num>
  <w:num w:numId="22" w16cid:durableId="737825283">
    <w:abstractNumId w:val="1"/>
  </w:num>
  <w:num w:numId="23" w16cid:durableId="1926955390">
    <w:abstractNumId w:val="14"/>
  </w:num>
  <w:num w:numId="24" w16cid:durableId="408381262">
    <w:abstractNumId w:val="18"/>
  </w:num>
  <w:num w:numId="25" w16cid:durableId="196549175">
    <w:abstractNumId w:val="21"/>
  </w:num>
  <w:num w:numId="26" w16cid:durableId="8913054">
    <w:abstractNumId w:val="12"/>
  </w:num>
  <w:num w:numId="27" w16cid:durableId="199120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559FF"/>
    <w:rsid w:val="00075299"/>
    <w:rsid w:val="0007565E"/>
    <w:rsid w:val="000873D2"/>
    <w:rsid w:val="00096EFB"/>
    <w:rsid w:val="000B36E6"/>
    <w:rsid w:val="000B6D54"/>
    <w:rsid w:val="000E3A54"/>
    <w:rsid w:val="000F2DFF"/>
    <w:rsid w:val="001001D1"/>
    <w:rsid w:val="00111510"/>
    <w:rsid w:val="001121BB"/>
    <w:rsid w:val="00120DB8"/>
    <w:rsid w:val="001250F4"/>
    <w:rsid w:val="0014520F"/>
    <w:rsid w:val="00153074"/>
    <w:rsid w:val="0015393E"/>
    <w:rsid w:val="00161C70"/>
    <w:rsid w:val="001654A8"/>
    <w:rsid w:val="0019350C"/>
    <w:rsid w:val="001A4839"/>
    <w:rsid w:val="001A6579"/>
    <w:rsid w:val="001A6EF9"/>
    <w:rsid w:val="001B6850"/>
    <w:rsid w:val="001B72F7"/>
    <w:rsid w:val="001C3AB3"/>
    <w:rsid w:val="001C7CDF"/>
    <w:rsid w:val="001E07AB"/>
    <w:rsid w:val="001E3A45"/>
    <w:rsid w:val="001E6ACA"/>
    <w:rsid w:val="00203B7D"/>
    <w:rsid w:val="00220FD6"/>
    <w:rsid w:val="0022147E"/>
    <w:rsid w:val="00221E43"/>
    <w:rsid w:val="002373EE"/>
    <w:rsid w:val="00242795"/>
    <w:rsid w:val="002428F2"/>
    <w:rsid w:val="00243F6E"/>
    <w:rsid w:val="002506D5"/>
    <w:rsid w:val="00253DB3"/>
    <w:rsid w:val="00253F45"/>
    <w:rsid w:val="00257244"/>
    <w:rsid w:val="002608A2"/>
    <w:rsid w:val="0026303C"/>
    <w:rsid w:val="00270699"/>
    <w:rsid w:val="00270896"/>
    <w:rsid w:val="00287411"/>
    <w:rsid w:val="00295B25"/>
    <w:rsid w:val="002A1410"/>
    <w:rsid w:val="002A4C08"/>
    <w:rsid w:val="002B3F4F"/>
    <w:rsid w:val="002D51C8"/>
    <w:rsid w:val="002D7F0C"/>
    <w:rsid w:val="002E21C8"/>
    <w:rsid w:val="002E45DD"/>
    <w:rsid w:val="002E5CD1"/>
    <w:rsid w:val="002F32F6"/>
    <w:rsid w:val="002F4C08"/>
    <w:rsid w:val="003005B3"/>
    <w:rsid w:val="003035F4"/>
    <w:rsid w:val="00303706"/>
    <w:rsid w:val="00303E94"/>
    <w:rsid w:val="00312603"/>
    <w:rsid w:val="003210AE"/>
    <w:rsid w:val="00325213"/>
    <w:rsid w:val="00335406"/>
    <w:rsid w:val="00335ABC"/>
    <w:rsid w:val="00341A67"/>
    <w:rsid w:val="00343003"/>
    <w:rsid w:val="00343578"/>
    <w:rsid w:val="003444FB"/>
    <w:rsid w:val="003541F2"/>
    <w:rsid w:val="00361E08"/>
    <w:rsid w:val="00380380"/>
    <w:rsid w:val="00386891"/>
    <w:rsid w:val="00386A2E"/>
    <w:rsid w:val="003A2F2D"/>
    <w:rsid w:val="003A5512"/>
    <w:rsid w:val="003A5AD4"/>
    <w:rsid w:val="003B5EAF"/>
    <w:rsid w:val="003D1989"/>
    <w:rsid w:val="003D1B1B"/>
    <w:rsid w:val="003E083C"/>
    <w:rsid w:val="003E4E18"/>
    <w:rsid w:val="003F1677"/>
    <w:rsid w:val="003F4F62"/>
    <w:rsid w:val="003F611B"/>
    <w:rsid w:val="004402F2"/>
    <w:rsid w:val="00442006"/>
    <w:rsid w:val="00444AE6"/>
    <w:rsid w:val="00454684"/>
    <w:rsid w:val="00462535"/>
    <w:rsid w:val="00471DD0"/>
    <w:rsid w:val="00475521"/>
    <w:rsid w:val="00493336"/>
    <w:rsid w:val="004A3AE0"/>
    <w:rsid w:val="004B2608"/>
    <w:rsid w:val="004D52A9"/>
    <w:rsid w:val="004D62AD"/>
    <w:rsid w:val="004E2CFF"/>
    <w:rsid w:val="004E3A23"/>
    <w:rsid w:val="004F2279"/>
    <w:rsid w:val="004F4ADD"/>
    <w:rsid w:val="004F6D4A"/>
    <w:rsid w:val="00512FA2"/>
    <w:rsid w:val="00523650"/>
    <w:rsid w:val="00545FF1"/>
    <w:rsid w:val="0055220B"/>
    <w:rsid w:val="005645AE"/>
    <w:rsid w:val="00575CD4"/>
    <w:rsid w:val="00580C20"/>
    <w:rsid w:val="005829D3"/>
    <w:rsid w:val="00583032"/>
    <w:rsid w:val="005B1AC8"/>
    <w:rsid w:val="005B672F"/>
    <w:rsid w:val="005C777D"/>
    <w:rsid w:val="005E5E3B"/>
    <w:rsid w:val="005E7824"/>
    <w:rsid w:val="005F7257"/>
    <w:rsid w:val="006071D9"/>
    <w:rsid w:val="006107AE"/>
    <w:rsid w:val="00612772"/>
    <w:rsid w:val="00616D6E"/>
    <w:rsid w:val="006262BF"/>
    <w:rsid w:val="0062666C"/>
    <w:rsid w:val="0063259F"/>
    <w:rsid w:val="006407BE"/>
    <w:rsid w:val="00645697"/>
    <w:rsid w:val="006512A2"/>
    <w:rsid w:val="006600E5"/>
    <w:rsid w:val="00671E55"/>
    <w:rsid w:val="006760BD"/>
    <w:rsid w:val="00677CA5"/>
    <w:rsid w:val="00687150"/>
    <w:rsid w:val="00694FDE"/>
    <w:rsid w:val="006953EF"/>
    <w:rsid w:val="0069793F"/>
    <w:rsid w:val="006B62A4"/>
    <w:rsid w:val="006B7BCF"/>
    <w:rsid w:val="006C206F"/>
    <w:rsid w:val="006C239A"/>
    <w:rsid w:val="006D2623"/>
    <w:rsid w:val="006D3D99"/>
    <w:rsid w:val="006D6527"/>
    <w:rsid w:val="006E1778"/>
    <w:rsid w:val="006E295A"/>
    <w:rsid w:val="006E2E69"/>
    <w:rsid w:val="006E657B"/>
    <w:rsid w:val="006E7404"/>
    <w:rsid w:val="006F6889"/>
    <w:rsid w:val="00701FDC"/>
    <w:rsid w:val="00721B38"/>
    <w:rsid w:val="00722D20"/>
    <w:rsid w:val="00724321"/>
    <w:rsid w:val="0073229D"/>
    <w:rsid w:val="0073361B"/>
    <w:rsid w:val="00736221"/>
    <w:rsid w:val="007417ED"/>
    <w:rsid w:val="00747A44"/>
    <w:rsid w:val="00750E0E"/>
    <w:rsid w:val="00752AFA"/>
    <w:rsid w:val="007531A8"/>
    <w:rsid w:val="0076221C"/>
    <w:rsid w:val="0077409A"/>
    <w:rsid w:val="00782668"/>
    <w:rsid w:val="007942B5"/>
    <w:rsid w:val="00794762"/>
    <w:rsid w:val="00795A55"/>
    <w:rsid w:val="007A48FA"/>
    <w:rsid w:val="007C10D6"/>
    <w:rsid w:val="007C5279"/>
    <w:rsid w:val="007C5352"/>
    <w:rsid w:val="007E4B50"/>
    <w:rsid w:val="007E52DF"/>
    <w:rsid w:val="007F1647"/>
    <w:rsid w:val="008128B4"/>
    <w:rsid w:val="0081343F"/>
    <w:rsid w:val="00816733"/>
    <w:rsid w:val="00830588"/>
    <w:rsid w:val="00832003"/>
    <w:rsid w:val="00832BBA"/>
    <w:rsid w:val="008413BE"/>
    <w:rsid w:val="0084386D"/>
    <w:rsid w:val="008450AF"/>
    <w:rsid w:val="00851C1F"/>
    <w:rsid w:val="008547C1"/>
    <w:rsid w:val="00865E08"/>
    <w:rsid w:val="008703DB"/>
    <w:rsid w:val="00872256"/>
    <w:rsid w:val="00873FFD"/>
    <w:rsid w:val="008808E2"/>
    <w:rsid w:val="0088321E"/>
    <w:rsid w:val="00891C02"/>
    <w:rsid w:val="008A362A"/>
    <w:rsid w:val="008B2343"/>
    <w:rsid w:val="008B30A8"/>
    <w:rsid w:val="008B5D8B"/>
    <w:rsid w:val="008E0AAD"/>
    <w:rsid w:val="008F2078"/>
    <w:rsid w:val="0090043C"/>
    <w:rsid w:val="00903EAD"/>
    <w:rsid w:val="00914E59"/>
    <w:rsid w:val="00930FE0"/>
    <w:rsid w:val="00934C18"/>
    <w:rsid w:val="009454FF"/>
    <w:rsid w:val="00947E50"/>
    <w:rsid w:val="0095026F"/>
    <w:rsid w:val="009532CD"/>
    <w:rsid w:val="00956990"/>
    <w:rsid w:val="0095732C"/>
    <w:rsid w:val="00957799"/>
    <w:rsid w:val="009608DA"/>
    <w:rsid w:val="009741DC"/>
    <w:rsid w:val="009813FF"/>
    <w:rsid w:val="00983C0B"/>
    <w:rsid w:val="00984723"/>
    <w:rsid w:val="0098674E"/>
    <w:rsid w:val="00994D18"/>
    <w:rsid w:val="009A074A"/>
    <w:rsid w:val="009A27A0"/>
    <w:rsid w:val="009B0059"/>
    <w:rsid w:val="009C167A"/>
    <w:rsid w:val="009D1D2E"/>
    <w:rsid w:val="009D2932"/>
    <w:rsid w:val="00A069AA"/>
    <w:rsid w:val="00A115CB"/>
    <w:rsid w:val="00A205E8"/>
    <w:rsid w:val="00A24A4C"/>
    <w:rsid w:val="00A32BC4"/>
    <w:rsid w:val="00A40BE2"/>
    <w:rsid w:val="00A43D25"/>
    <w:rsid w:val="00A606D1"/>
    <w:rsid w:val="00A666DD"/>
    <w:rsid w:val="00A84B63"/>
    <w:rsid w:val="00A84D1C"/>
    <w:rsid w:val="00A94D51"/>
    <w:rsid w:val="00A97F63"/>
    <w:rsid w:val="00AA1F30"/>
    <w:rsid w:val="00AB029D"/>
    <w:rsid w:val="00AB1C6E"/>
    <w:rsid w:val="00AC25E3"/>
    <w:rsid w:val="00AD0B5F"/>
    <w:rsid w:val="00AD0D56"/>
    <w:rsid w:val="00AD1F84"/>
    <w:rsid w:val="00AD370C"/>
    <w:rsid w:val="00AE3A8A"/>
    <w:rsid w:val="00AE5CD7"/>
    <w:rsid w:val="00AF072C"/>
    <w:rsid w:val="00AF5DDF"/>
    <w:rsid w:val="00AF654E"/>
    <w:rsid w:val="00B04A79"/>
    <w:rsid w:val="00B04F84"/>
    <w:rsid w:val="00B13B72"/>
    <w:rsid w:val="00B24CC5"/>
    <w:rsid w:val="00B32468"/>
    <w:rsid w:val="00B5175F"/>
    <w:rsid w:val="00B5205E"/>
    <w:rsid w:val="00B951EF"/>
    <w:rsid w:val="00BB1434"/>
    <w:rsid w:val="00BE3B14"/>
    <w:rsid w:val="00BF5AFF"/>
    <w:rsid w:val="00C06CB7"/>
    <w:rsid w:val="00C14C88"/>
    <w:rsid w:val="00C20CF7"/>
    <w:rsid w:val="00C23375"/>
    <w:rsid w:val="00C40D12"/>
    <w:rsid w:val="00C44C96"/>
    <w:rsid w:val="00C50AB0"/>
    <w:rsid w:val="00C6079A"/>
    <w:rsid w:val="00C6296E"/>
    <w:rsid w:val="00C6301D"/>
    <w:rsid w:val="00C63110"/>
    <w:rsid w:val="00C7691F"/>
    <w:rsid w:val="00C7717D"/>
    <w:rsid w:val="00C83F9B"/>
    <w:rsid w:val="00C856C6"/>
    <w:rsid w:val="00CA3953"/>
    <w:rsid w:val="00CB1972"/>
    <w:rsid w:val="00CD47D9"/>
    <w:rsid w:val="00CF10C8"/>
    <w:rsid w:val="00CF18D9"/>
    <w:rsid w:val="00D02CA7"/>
    <w:rsid w:val="00D16387"/>
    <w:rsid w:val="00D16A4F"/>
    <w:rsid w:val="00D17070"/>
    <w:rsid w:val="00D17298"/>
    <w:rsid w:val="00D17C5C"/>
    <w:rsid w:val="00D31A68"/>
    <w:rsid w:val="00D611AE"/>
    <w:rsid w:val="00D61C51"/>
    <w:rsid w:val="00D67A0B"/>
    <w:rsid w:val="00D75609"/>
    <w:rsid w:val="00D773CC"/>
    <w:rsid w:val="00D94255"/>
    <w:rsid w:val="00DE0644"/>
    <w:rsid w:val="00E014FD"/>
    <w:rsid w:val="00E063FD"/>
    <w:rsid w:val="00E15487"/>
    <w:rsid w:val="00E2097E"/>
    <w:rsid w:val="00E33706"/>
    <w:rsid w:val="00E3625C"/>
    <w:rsid w:val="00E368A5"/>
    <w:rsid w:val="00E523C8"/>
    <w:rsid w:val="00E5343E"/>
    <w:rsid w:val="00E57432"/>
    <w:rsid w:val="00E67A41"/>
    <w:rsid w:val="00E723A9"/>
    <w:rsid w:val="00E80101"/>
    <w:rsid w:val="00E83395"/>
    <w:rsid w:val="00EA0595"/>
    <w:rsid w:val="00EA3914"/>
    <w:rsid w:val="00EB3555"/>
    <w:rsid w:val="00EB6A76"/>
    <w:rsid w:val="00EC37F8"/>
    <w:rsid w:val="00EC7460"/>
    <w:rsid w:val="00EF217C"/>
    <w:rsid w:val="00EF6C8F"/>
    <w:rsid w:val="00F03885"/>
    <w:rsid w:val="00F10FAA"/>
    <w:rsid w:val="00F15BFA"/>
    <w:rsid w:val="00F4276F"/>
    <w:rsid w:val="00F4481C"/>
    <w:rsid w:val="00F4701E"/>
    <w:rsid w:val="00F51523"/>
    <w:rsid w:val="00F97905"/>
    <w:rsid w:val="00FA5971"/>
    <w:rsid w:val="00FA7233"/>
    <w:rsid w:val="00FC0F61"/>
    <w:rsid w:val="00FC57EB"/>
    <w:rsid w:val="00FD132F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D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E45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5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5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5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5DD"/>
    <w:rPr>
      <w:b/>
      <w:bCs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basedOn w:val="DefaultParagraphFont"/>
    <w:uiPriority w:val="34"/>
    <w:locked/>
    <w:rsid w:val="001E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Vlad Pereteanu</cp:lastModifiedBy>
  <cp:revision>195</cp:revision>
  <dcterms:created xsi:type="dcterms:W3CDTF">2023-12-08T12:24:00Z</dcterms:created>
  <dcterms:modified xsi:type="dcterms:W3CDTF">2024-04-04T12:30:00Z</dcterms:modified>
</cp:coreProperties>
</file>